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11: Cuộc cải cách của Minh Mạng (nửa đầu thế kỉ XIX)</w:t>
      </w:r>
    </w:p>
    <w:p>
      <w:pPr>
        <w:spacing w:after="60"/>
        <w:jc w:val="center"/>
      </w:pPr>
      <w:r>
        <w:rPr>
          <w:b w:val="0"/>
          <w:i/>
          <w:sz w:val="22"/>
        </w:rPr>
        <w:t>SGK tr.69–72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tr.69–72,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Triều Nguyễn thành lập năm ……… . Vua Minh Mạng lên ngôi hoàng đế năm ……… . Năm 1829, nhà vua lập ……… thay thế cho Văn thư phòng.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Trọng tâm của cuộc cải cách Minh Mạng là:</w:t>
      </w:r>
    </w:p>
    <w:p>
      <w:pPr>
        <w:spacing w:after="0"/>
      </w:pPr>
      <w:r>
        <w:rPr>
          <w:b w:val="0"/>
          <w:i w:val="0"/>
        </w:rPr>
        <w:t>A. Quân sự</w:t>
      </w:r>
    </w:p>
    <w:p>
      <w:pPr>
        <w:spacing w:after="0"/>
      </w:pPr>
      <w:r>
        <w:rPr>
          <w:b w:val="0"/>
          <w:i w:val="0"/>
        </w:rPr>
        <w:t>B. Văn hoá, giáo dục</w:t>
      </w:r>
    </w:p>
    <w:p>
      <w:pPr>
        <w:spacing w:after="0"/>
      </w:pPr>
      <w:r>
        <w:rPr>
          <w:b w:val="0"/>
          <w:i w:val="0"/>
        </w:rPr>
        <w:t>C. Hành chính</w:t>
      </w:r>
    </w:p>
    <w:p>
      <w:pPr>
        <w:spacing w:after="0"/>
      </w:pPr>
      <w:r>
        <w:rPr>
          <w:b w:val="0"/>
          <w:i w:val="0"/>
        </w:rPr>
        <w:t>D. Thương nghiệp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mốc thời gian/ cơ quan ở cột A với nội dung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1. 1829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Xoá bỏ Gia Định Thành, chia vùng lãnh thổ từ Thừa Thiên vào Nam thành 12 tỉnh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2. 1831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Lập Cơ mật viện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3. 1832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Lập Nội các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4. 1834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Xoá bỏ Bắc Thành, chia vùng lãnh thổ từ Thừa Thiên ra Bắc thành 18 tỉnh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Minh Mạng chia cả nước thành 30 tỉnh và phủ Thừa Thiên.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Đứng đầu tỉnh là Đô ty, Thừa ty, Hiến ty.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Hồi tị là chế độ quy định người thân không được làm quan cùng một chỗ.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Ở vùng dân tộc thiểu số, Minh Mạng giữ nguyên chế độ cai trị của các tù trưởng.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chức năng của cơ quan thời Minh Mạng.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2"/>
              </w:rPr>
              <w:t>Cơ quan</w:t>
            </w:r>
          </w:p>
        </w:tc>
        <w:tc>
          <w:tcPr>
            <w:tcW w:type="dxa" w:w="7143"/>
            <w:shd w:val="clear" w:color="auto" w:fill="DCE6F5"/>
          </w:tcPr>
          <w:p>
            <w:r/>
            <w:r>
              <w:rPr>
                <w:b/>
                <w:sz w:val="22"/>
              </w:rPr>
              <w:t>Chức năng</w:t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Nội các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Cơ mật viện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Đô sát viện và Lục Khoa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cải cách Minh Mạng.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494"/>
            <w:shd w:val="clear" w:color="auto" w:fill="DCE6F5"/>
          </w:tcPr>
          <w:p>
            <w:r/>
            <w:r>
              <w:rPr>
                <w:b/>
                <w:sz w:val="22"/>
              </w:rPr>
              <w:t>Nội dung</w:t>
            </w:r>
          </w:p>
        </w:tc>
        <w:tc>
          <w:tcPr>
            <w:tcW w:type="dxa" w:w="7483"/>
            <w:shd w:val="clear" w:color="auto" w:fill="DCE6F5"/>
          </w:tcPr>
          <w:p>
            <w:r/>
            <w:r>
              <w:rPr>
                <w:b/>
                <w:sz w:val="22"/>
              </w:rPr>
              <w:t>Biểu hiện chính</w:t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Bối cảnh (trước 1820)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Cải cách ở địa phương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Kết quả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Khai thác lược đồ Hình 2 (SGK tr.70), nêu nhận xét về đơn vị hành chính Việt Nam sau cải cách Minh Mạng.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So sánh cải cách hành chính của Lê Thánh Tông và Minh Mạng: nêu 1 điểm giống và 1 điểm khác.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Bài học kinh nghiệm nào từ cải cách Minh Mạng có thể áp dụng vào xây dựng nền hành chính Việt Nam hiện đại? Nêu 1 ví dụ cụ thể.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